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160"/>
        <w:gridCol w:w="8360"/>
      </w:tblGrid>
      <w:tr w:rsidR="0029316A" w:rsidRPr="00A32E7C" w14:paraId="126112B1" w14:textId="77777777" w:rsidTr="0029316A">
        <w:trPr>
          <w:trHeight w:val="576"/>
        </w:trPr>
        <w:tc>
          <w:tcPr>
            <w:tcW w:w="10790" w:type="dxa"/>
            <w:gridSpan w:val="3"/>
            <w:vAlign w:val="center"/>
          </w:tcPr>
          <w:p w14:paraId="01CF8D01" w14:textId="276375AA" w:rsidR="0029316A" w:rsidRPr="00A32E7C" w:rsidRDefault="0029316A" w:rsidP="0029316A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>Economic Development Advisory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2"/>
                <w:szCs w:val="32"/>
              </w:rPr>
              <w:t xml:space="preserve"> </w:t>
            </w:r>
            <w:r w:rsidRPr="00A32E7C"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  <w:t>Board</w:t>
            </w:r>
          </w:p>
        </w:tc>
      </w:tr>
      <w:tr w:rsidR="0029316A" w:rsidRPr="0097048E" w14:paraId="71085536" w14:textId="77777777" w:rsidTr="0029316A">
        <w:tc>
          <w:tcPr>
            <w:tcW w:w="270" w:type="dxa"/>
            <w:shd w:val="clear" w:color="auto" w:fill="133D65" w:themeFill="accent6"/>
          </w:tcPr>
          <w:p w14:paraId="329DE75B" w14:textId="77777777" w:rsidR="0029316A" w:rsidRPr="00A32E7C" w:rsidRDefault="0029316A" w:rsidP="001F52C9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4A4D8320" w14:textId="77777777" w:rsidR="0029316A" w:rsidRPr="00A32E7C" w:rsidRDefault="0029316A" w:rsidP="0029316A">
            <w:pPr>
              <w:contextualSpacing/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</w:p>
          <w:p w14:paraId="313E6179" w14:textId="77777777" w:rsidR="00F3019C" w:rsidRPr="00207C93" w:rsidRDefault="00F3019C" w:rsidP="00F3019C">
            <w:pPr>
              <w:contextualSpacing/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u w:val="single"/>
              </w:rPr>
            </w:pPr>
            <w:r w:rsidRPr="00207C93">
              <w:rPr>
                <w:rFonts w:ascii="Calibri" w:hAnsi="Calibri"/>
                <w:b/>
                <w:bCs/>
                <w:i/>
                <w:iCs/>
                <w:color w:val="002060"/>
                <w:sz w:val="18"/>
                <w:szCs w:val="18"/>
                <w:u w:val="single"/>
              </w:rPr>
              <w:t>BOARD</w:t>
            </w:r>
          </w:p>
          <w:p w14:paraId="412E31C1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Monica Worrell, Chair</w:t>
            </w:r>
          </w:p>
          <w:p w14:paraId="243787F1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Tony Steelman, Vice</w:t>
            </w:r>
          </w:p>
          <w:p w14:paraId="62924486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Henry Allen</w:t>
            </w:r>
          </w:p>
          <w:p w14:paraId="799191DC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Rick Bohdel</w:t>
            </w:r>
          </w:p>
          <w:p w14:paraId="65742AD2" w14:textId="4432B8A0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Sean Bulson</w:t>
            </w:r>
            <w:r w:rsidR="00453B3F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br/>
              <w:t>Sheryl Davis Kohl</w:t>
            </w:r>
          </w:p>
          <w:p w14:paraId="349BB2ED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Theresa Felder</w:t>
            </w:r>
          </w:p>
          <w:p w14:paraId="542BF282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Wayne Goddard</w:t>
            </w:r>
          </w:p>
          <w:p w14:paraId="350338D9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Mary Hastler</w:t>
            </w:r>
          </w:p>
          <w:p w14:paraId="57A8AB95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Henry Holloway</w:t>
            </w:r>
          </w:p>
          <w:p w14:paraId="7CCB494B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Kim Justus</w:t>
            </w:r>
          </w:p>
          <w:p w14:paraId="1DC7BE1B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Gil Kennedy</w:t>
            </w:r>
          </w:p>
          <w:p w14:paraId="12D4CF07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Kristin Kirkwood</w:t>
            </w:r>
          </w:p>
          <w:p w14:paraId="09170262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Thomas Knapp</w:t>
            </w:r>
          </w:p>
          <w:p w14:paraId="52C31DFA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Joan Michel</w:t>
            </w:r>
          </w:p>
          <w:p w14:paraId="2261D863" w14:textId="4E1D0D89" w:rsidR="00F3019C" w:rsidRPr="00207C93" w:rsidRDefault="00453B3F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John Muldoon</w:t>
            </w:r>
          </w:p>
          <w:p w14:paraId="1EB71C44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Patrick Mullin</w:t>
            </w:r>
          </w:p>
          <w:p w14:paraId="71C42F6C" w14:textId="74884154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Saumil Pandya</w:t>
            </w:r>
            <w:r w:rsidR="00453B3F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br/>
              <w:t>Mike Patel</w:t>
            </w:r>
            <w:r w:rsidR="002B589E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br/>
              <w:t>Aaron Rabinowitz</w:t>
            </w:r>
          </w:p>
          <w:p w14:paraId="01BBB37A" w14:textId="7ABD1FBB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Angela Rose</w:t>
            </w:r>
          </w:p>
          <w:p w14:paraId="0AED4105" w14:textId="6791248B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Kenneth Shannon</w:t>
            </w:r>
            <w:r w:rsidR="00453B3F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br/>
              <w:t>Shane Sims</w:t>
            </w:r>
          </w:p>
          <w:p w14:paraId="4AE41AC8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Chris Streett</w:t>
            </w:r>
          </w:p>
          <w:p w14:paraId="2BE44CD0" w14:textId="21018E0C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Muhammed Suhail</w:t>
            </w:r>
            <w:r w:rsidR="00453B3F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br/>
              <w:t>Mike Tarquini</w:t>
            </w:r>
          </w:p>
          <w:p w14:paraId="70639F73" w14:textId="77777777" w:rsidR="00F3019C" w:rsidRPr="00207C93" w:rsidRDefault="00F3019C" w:rsidP="00F3019C">
            <w:pPr>
              <w:contextualSpacing/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002060"/>
                <w:sz w:val="18"/>
                <w:szCs w:val="18"/>
              </w:rPr>
              <w:t>Judith Wettig</w:t>
            </w:r>
          </w:p>
          <w:p w14:paraId="0799D95E" w14:textId="58BE4F39" w:rsidR="00D52D19" w:rsidRPr="00207C93" w:rsidRDefault="00207C93" w:rsidP="00D52D19">
            <w:pPr>
              <w:contextualSpacing/>
              <w:rPr>
                <w:rFonts w:ascii="Calibri" w:hAnsi="Calibri"/>
                <w:b/>
                <w:bCs/>
                <w:i/>
                <w:iCs/>
                <w:color w:val="133D65" w:themeColor="text2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133D65" w:themeColor="text2"/>
                <w:szCs w:val="30"/>
                <w:u w:val="single"/>
              </w:rPr>
              <w:br/>
            </w:r>
            <w:r w:rsidR="00D52D19" w:rsidRPr="00207C93">
              <w:rPr>
                <w:rFonts w:ascii="Calibri" w:hAnsi="Calibri"/>
                <w:b/>
                <w:bCs/>
                <w:i/>
                <w:iCs/>
                <w:color w:val="133D65" w:themeColor="text2"/>
                <w:sz w:val="18"/>
                <w:szCs w:val="18"/>
                <w:u w:val="single"/>
              </w:rPr>
              <w:t>NON-VOTING</w:t>
            </w:r>
          </w:p>
          <w:p w14:paraId="34348DFE" w14:textId="77777777" w:rsidR="00D52D19" w:rsidRPr="00207C93" w:rsidRDefault="00D52D19" w:rsidP="00D52D19">
            <w:pPr>
              <w:contextualSpacing/>
              <w:rPr>
                <w:rFonts w:ascii="Calibri" w:hAnsi="Calibri"/>
                <w:b/>
                <w:bCs/>
                <w:i/>
                <w:iCs/>
                <w:color w:val="133D65" w:themeColor="text2"/>
                <w:sz w:val="18"/>
                <w:szCs w:val="18"/>
                <w:u w:val="single"/>
              </w:rPr>
            </w:pPr>
            <w:r w:rsidRPr="00207C93">
              <w:rPr>
                <w:rFonts w:ascii="Calibri" w:hAnsi="Calibri"/>
                <w:b/>
                <w:bCs/>
                <w:i/>
                <w:iCs/>
                <w:color w:val="133D65" w:themeColor="text2"/>
                <w:sz w:val="18"/>
                <w:szCs w:val="18"/>
                <w:u w:val="single"/>
              </w:rPr>
              <w:t>LIAISONS</w:t>
            </w:r>
          </w:p>
          <w:p w14:paraId="5F380E81" w14:textId="77777777" w:rsidR="00D52D19" w:rsidRPr="00207C93" w:rsidRDefault="00D52D19" w:rsidP="00D52D19">
            <w:pPr>
              <w:contextualSpacing/>
              <w:rPr>
                <w:rFonts w:ascii="Calibri" w:hAnsi="Calibri"/>
                <w:b/>
                <w:bCs/>
                <w:i/>
                <w:iCs/>
                <w:color w:val="133D65" w:themeColor="text2"/>
                <w:sz w:val="18"/>
                <w:szCs w:val="18"/>
              </w:rPr>
            </w:pPr>
          </w:p>
          <w:p w14:paraId="049164C7" w14:textId="77777777" w:rsidR="00D52D19" w:rsidRPr="00207C93" w:rsidRDefault="00D52D19" w:rsidP="00D52D19">
            <w:pPr>
              <w:contextualSpacing/>
              <w:rPr>
                <w:rFonts w:ascii="Calibri" w:hAnsi="Calibri"/>
                <w:i/>
                <w:iCs/>
                <w:color w:val="133D65" w:themeColor="text2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133D65" w:themeColor="text2"/>
                <w:sz w:val="18"/>
                <w:szCs w:val="18"/>
              </w:rPr>
              <w:t>Tony Giangiordano</w:t>
            </w:r>
          </w:p>
          <w:p w14:paraId="58D3C7B6" w14:textId="77777777" w:rsidR="00D52D19" w:rsidRPr="00207C93" w:rsidRDefault="00D52D19" w:rsidP="00D52D19">
            <w:pPr>
              <w:contextualSpacing/>
              <w:rPr>
                <w:rFonts w:ascii="Calibri" w:hAnsi="Calibri"/>
                <w:i/>
                <w:iCs/>
                <w:color w:val="133D65" w:themeColor="text2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133D65" w:themeColor="text2"/>
                <w:sz w:val="18"/>
                <w:szCs w:val="18"/>
              </w:rPr>
              <w:t>Phyllis Grover</w:t>
            </w:r>
          </w:p>
          <w:p w14:paraId="4FA16B68" w14:textId="77777777" w:rsidR="00D52D19" w:rsidRPr="00207C93" w:rsidRDefault="00D52D19" w:rsidP="00D52D19">
            <w:pPr>
              <w:contextualSpacing/>
              <w:rPr>
                <w:rFonts w:ascii="Calibri" w:hAnsi="Calibri"/>
                <w:i/>
                <w:iCs/>
                <w:color w:val="133D65" w:themeColor="text2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133D65" w:themeColor="text2"/>
                <w:sz w:val="18"/>
                <w:szCs w:val="18"/>
              </w:rPr>
              <w:t>Bridgette Johnson</w:t>
            </w:r>
          </w:p>
          <w:p w14:paraId="7EA249E5" w14:textId="77777777" w:rsidR="00D52D19" w:rsidRPr="00207C93" w:rsidRDefault="00D52D19" w:rsidP="00D52D19">
            <w:pPr>
              <w:contextualSpacing/>
              <w:rPr>
                <w:rFonts w:ascii="Calibri" w:hAnsi="Calibri"/>
                <w:i/>
                <w:iCs/>
                <w:color w:val="133D65" w:themeColor="text2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133D65" w:themeColor="text2"/>
                <w:sz w:val="18"/>
                <w:szCs w:val="18"/>
              </w:rPr>
              <w:t>Teresa Reilly</w:t>
            </w:r>
          </w:p>
          <w:p w14:paraId="32F9E395" w14:textId="77777777" w:rsidR="00D52D19" w:rsidRPr="00207C93" w:rsidRDefault="00D52D19" w:rsidP="00D52D19">
            <w:pPr>
              <w:contextualSpacing/>
              <w:rPr>
                <w:rFonts w:ascii="Calibri" w:hAnsi="Calibri"/>
                <w:i/>
                <w:iCs/>
                <w:color w:val="133D65" w:themeColor="text2"/>
                <w:sz w:val="18"/>
                <w:szCs w:val="18"/>
              </w:rPr>
            </w:pPr>
            <w:r w:rsidRPr="00207C93">
              <w:rPr>
                <w:rFonts w:ascii="Calibri" w:hAnsi="Calibri"/>
                <w:i/>
                <w:iCs/>
                <w:color w:val="133D65" w:themeColor="text2"/>
                <w:sz w:val="18"/>
                <w:szCs w:val="18"/>
              </w:rPr>
              <w:t>Angela Robertson</w:t>
            </w:r>
          </w:p>
          <w:p w14:paraId="4FB87EEC" w14:textId="13DD79FF" w:rsidR="00D52D19" w:rsidRPr="00A32E7C" w:rsidRDefault="00D52D19" w:rsidP="001F52C9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8360" w:type="dxa"/>
          </w:tcPr>
          <w:p w14:paraId="1ADAC442" w14:textId="77777777" w:rsidR="0029316A" w:rsidRPr="0097048E" w:rsidRDefault="0029316A" w:rsidP="008C4506">
            <w:pPr>
              <w:spacing w:line="288" w:lineRule="auto"/>
              <w:contextualSpacing/>
              <w:rPr>
                <w:rFonts w:ascii="Seaford" w:hAnsi="Seaford"/>
                <w:b/>
                <w:bCs/>
                <w:sz w:val="36"/>
                <w:szCs w:val="36"/>
              </w:rPr>
            </w:pPr>
            <w:r w:rsidRPr="0097048E"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  <w:t>AGENDA</w:t>
            </w:r>
          </w:p>
          <w:p w14:paraId="24D1CFE6" w14:textId="185711C9" w:rsidR="0029316A" w:rsidRPr="0097048E" w:rsidRDefault="0072150F" w:rsidP="008C4506">
            <w:pPr>
              <w:spacing w:line="288" w:lineRule="auto"/>
              <w:rPr>
                <w:rFonts w:ascii="Seaford" w:hAnsi="Seaford"/>
                <w:b/>
                <w:bCs/>
              </w:rPr>
            </w:pPr>
            <w:r>
              <w:rPr>
                <w:rFonts w:ascii="Seaford" w:hAnsi="Seaford"/>
                <w:b/>
                <w:bCs/>
              </w:rPr>
              <w:t>January 14, 2026</w:t>
            </w:r>
          </w:p>
          <w:p w14:paraId="6EABB1DF" w14:textId="2D0A2BFE" w:rsidR="0029316A" w:rsidRPr="0097048E" w:rsidRDefault="0072150F" w:rsidP="008C4506">
            <w:pPr>
              <w:spacing w:line="288" w:lineRule="auto"/>
              <w:rPr>
                <w:rFonts w:ascii="Seaford" w:hAnsi="Seaford"/>
                <w:b/>
                <w:bCs/>
              </w:rPr>
            </w:pPr>
            <w:r>
              <w:rPr>
                <w:rFonts w:ascii="Seaford" w:hAnsi="Seaford"/>
                <w:b/>
                <w:bCs/>
              </w:rPr>
              <w:t>CONVERGE Innovation Center</w:t>
            </w:r>
            <w:r w:rsidR="00767B0D" w:rsidRPr="0097048E">
              <w:rPr>
                <w:rFonts w:ascii="Seaford" w:hAnsi="Seaford"/>
                <w:b/>
                <w:bCs/>
              </w:rPr>
              <w:br/>
            </w:r>
            <w:r>
              <w:rPr>
                <w:rFonts w:ascii="Seaford" w:hAnsi="Seaford"/>
                <w:b/>
                <w:bCs/>
              </w:rPr>
              <w:t>1201 Technology Drive</w:t>
            </w:r>
            <w:r w:rsidR="00767B0D" w:rsidRPr="0097048E">
              <w:rPr>
                <w:rFonts w:ascii="Seaford" w:hAnsi="Seaford"/>
                <w:b/>
                <w:bCs/>
              </w:rPr>
              <w:br/>
            </w:r>
            <w:r>
              <w:rPr>
                <w:rFonts w:ascii="Seaford" w:hAnsi="Seaford"/>
                <w:b/>
                <w:bCs/>
              </w:rPr>
              <w:t>Aberdeen, MD 21001</w:t>
            </w:r>
          </w:p>
          <w:p w14:paraId="7C44CA24" w14:textId="77777777" w:rsidR="00A32E7C" w:rsidRPr="0097048E" w:rsidRDefault="00A32E7C" w:rsidP="00A32E7C">
            <w:pPr>
              <w:spacing w:line="288" w:lineRule="auto"/>
              <w:rPr>
                <w:rFonts w:ascii="Seaford" w:hAnsi="Seaford"/>
              </w:rPr>
            </w:pPr>
          </w:p>
          <w:p w14:paraId="446A4F20" w14:textId="22E6482A" w:rsidR="0010686E" w:rsidRPr="0097048E" w:rsidRDefault="0029316A" w:rsidP="004403A1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613" w:hanging="540"/>
              <w:rPr>
                <w:rFonts w:ascii="Seaford" w:hAnsi="Seaford"/>
              </w:rPr>
            </w:pPr>
            <w:r w:rsidRPr="0097048E">
              <w:rPr>
                <w:rFonts w:ascii="Seaford" w:hAnsi="Seaford"/>
              </w:rPr>
              <w:t>Welcome</w:t>
            </w:r>
            <w:r w:rsidR="004A42FB">
              <w:rPr>
                <w:rFonts w:ascii="Seaford" w:hAnsi="Seaford"/>
              </w:rPr>
              <w:t xml:space="preserve">              </w:t>
            </w:r>
            <w:r w:rsidR="0010686E" w:rsidRPr="0097048E">
              <w:rPr>
                <w:rFonts w:ascii="Seaford" w:hAnsi="Seaford"/>
              </w:rPr>
              <w:t xml:space="preserve">                    </w:t>
            </w:r>
            <w:r w:rsidR="004403A1" w:rsidRPr="0097048E">
              <w:rPr>
                <w:rFonts w:ascii="Seaford" w:hAnsi="Seaford"/>
              </w:rPr>
              <w:t xml:space="preserve">                           </w:t>
            </w:r>
            <w:r w:rsidR="00883CF7">
              <w:rPr>
                <w:rFonts w:ascii="Seaford" w:hAnsi="Seaford"/>
              </w:rPr>
              <w:t xml:space="preserve">       Monica Worrell</w:t>
            </w:r>
            <w:r w:rsidR="009C1CAC" w:rsidRPr="0097048E">
              <w:rPr>
                <w:rFonts w:ascii="Seaford" w:hAnsi="Seaford"/>
              </w:rPr>
              <w:t>,</w:t>
            </w:r>
            <w:r w:rsidR="00883CF7">
              <w:rPr>
                <w:rFonts w:ascii="Seaford" w:hAnsi="Seaford"/>
              </w:rPr>
              <w:t xml:space="preserve"> </w:t>
            </w:r>
            <w:r w:rsidR="009C1CAC" w:rsidRPr="0097048E">
              <w:rPr>
                <w:rFonts w:ascii="Seaford" w:hAnsi="Seaford"/>
                <w:i/>
                <w:iCs/>
              </w:rPr>
              <w:t>chair</w:t>
            </w:r>
            <w:r w:rsidR="009C1CAC" w:rsidRPr="0097048E">
              <w:rPr>
                <w:rFonts w:ascii="Seaford" w:hAnsi="Seaford"/>
              </w:rPr>
              <w:t xml:space="preserve">, presiding </w:t>
            </w:r>
          </w:p>
          <w:p w14:paraId="6F020834" w14:textId="7315BA0F" w:rsidR="0097048E" w:rsidRDefault="00967E6F" w:rsidP="0097048E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613" w:hanging="54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Economic Development Team Updates</w:t>
            </w:r>
            <w:r w:rsidR="004A42FB">
              <w:rPr>
                <w:rFonts w:ascii="Seaford" w:hAnsi="Seaford"/>
              </w:rPr>
              <w:t xml:space="preserve"> </w:t>
            </w:r>
            <w:r w:rsidR="00453B3F">
              <w:rPr>
                <w:rFonts w:ascii="Seaford" w:hAnsi="Seaford"/>
              </w:rPr>
              <w:t xml:space="preserve">                     </w:t>
            </w:r>
            <w:r w:rsidR="002C1128">
              <w:rPr>
                <w:rFonts w:ascii="Seaford" w:hAnsi="Seaford"/>
              </w:rPr>
              <w:t xml:space="preserve">        </w:t>
            </w:r>
            <w:r>
              <w:rPr>
                <w:rFonts w:ascii="Seaford" w:hAnsi="Seaford"/>
              </w:rPr>
              <w:t xml:space="preserve">                                 Staff</w:t>
            </w:r>
          </w:p>
          <w:p w14:paraId="5DC9F83E" w14:textId="6A755476" w:rsidR="00967E6F" w:rsidRDefault="00967E6F" w:rsidP="00967E6F">
            <w:pPr>
              <w:pStyle w:val="ListParagraph"/>
              <w:numPr>
                <w:ilvl w:val="1"/>
                <w:numId w:val="2"/>
              </w:numPr>
              <w:spacing w:line="288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Karen Holt – </w:t>
            </w:r>
            <w:r w:rsidR="00E6657D">
              <w:rPr>
                <w:rFonts w:ascii="Seaford" w:hAnsi="Seaford"/>
              </w:rPr>
              <w:t>D</w:t>
            </w:r>
            <w:r>
              <w:rPr>
                <w:rFonts w:ascii="Seaford" w:hAnsi="Seaford"/>
              </w:rPr>
              <w:t xml:space="preserve">irector’s </w:t>
            </w:r>
            <w:r w:rsidR="00E6657D">
              <w:rPr>
                <w:rFonts w:ascii="Seaford" w:hAnsi="Seaford"/>
              </w:rPr>
              <w:t>R</w:t>
            </w:r>
            <w:r>
              <w:rPr>
                <w:rFonts w:ascii="Seaford" w:hAnsi="Seaford"/>
              </w:rPr>
              <w:t>eport</w:t>
            </w:r>
          </w:p>
          <w:p w14:paraId="1C4456DF" w14:textId="7B497920" w:rsidR="00967E6F" w:rsidRDefault="00967E6F" w:rsidP="00967E6F">
            <w:pPr>
              <w:pStyle w:val="ListParagraph"/>
              <w:numPr>
                <w:ilvl w:val="1"/>
                <w:numId w:val="2"/>
              </w:numPr>
              <w:spacing w:line="288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Kim Szpara – </w:t>
            </w:r>
            <w:r w:rsidR="00E6657D">
              <w:rPr>
                <w:rFonts w:ascii="Seaford" w:hAnsi="Seaford"/>
              </w:rPr>
              <w:t>L</w:t>
            </w:r>
            <w:r>
              <w:rPr>
                <w:rFonts w:ascii="Seaford" w:hAnsi="Seaford"/>
              </w:rPr>
              <w:t xml:space="preserve">oan </w:t>
            </w:r>
            <w:r w:rsidR="00E6657D">
              <w:rPr>
                <w:rFonts w:ascii="Seaford" w:hAnsi="Seaford"/>
              </w:rPr>
              <w:t>P</w:t>
            </w:r>
            <w:r>
              <w:rPr>
                <w:rFonts w:ascii="Seaford" w:hAnsi="Seaford"/>
              </w:rPr>
              <w:t>rogram</w:t>
            </w:r>
          </w:p>
          <w:p w14:paraId="71CC2B7B" w14:textId="2CB572ED" w:rsidR="00967E6F" w:rsidRDefault="00967E6F" w:rsidP="00967E6F">
            <w:pPr>
              <w:pStyle w:val="ListParagraph"/>
              <w:numPr>
                <w:ilvl w:val="1"/>
                <w:numId w:val="2"/>
              </w:numPr>
              <w:spacing w:line="288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Emily Dickerson – </w:t>
            </w:r>
            <w:r w:rsidR="00E6657D">
              <w:rPr>
                <w:rFonts w:ascii="Seaford" w:hAnsi="Seaford"/>
              </w:rPr>
              <w:t>M</w:t>
            </w:r>
            <w:r>
              <w:rPr>
                <w:rFonts w:ascii="Seaford" w:hAnsi="Seaford"/>
              </w:rPr>
              <w:t>arketing/</w:t>
            </w:r>
            <w:r w:rsidR="00E6657D">
              <w:rPr>
                <w:rFonts w:ascii="Seaford" w:hAnsi="Seaford"/>
              </w:rPr>
              <w:t>E</w:t>
            </w:r>
            <w:r>
              <w:rPr>
                <w:rFonts w:ascii="Seaford" w:hAnsi="Seaford"/>
              </w:rPr>
              <w:t xml:space="preserve">ditorial </w:t>
            </w:r>
            <w:r w:rsidR="00E6657D">
              <w:rPr>
                <w:rFonts w:ascii="Seaford" w:hAnsi="Seaford"/>
              </w:rPr>
              <w:t>C</w:t>
            </w:r>
            <w:r>
              <w:rPr>
                <w:rFonts w:ascii="Seaford" w:hAnsi="Seaford"/>
              </w:rPr>
              <w:t>alendar</w:t>
            </w:r>
          </w:p>
          <w:p w14:paraId="41574FC8" w14:textId="56D3E819" w:rsidR="00967E6F" w:rsidRPr="009B28ED" w:rsidRDefault="00967E6F" w:rsidP="00967E6F">
            <w:pPr>
              <w:pStyle w:val="ListParagraph"/>
              <w:numPr>
                <w:ilvl w:val="1"/>
                <w:numId w:val="2"/>
              </w:numPr>
              <w:spacing w:line="288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Jodi Marschhauser – </w:t>
            </w:r>
            <w:r w:rsidR="00E6657D">
              <w:rPr>
                <w:rFonts w:ascii="Seaford" w:hAnsi="Seaford"/>
              </w:rPr>
              <w:t>T</w:t>
            </w:r>
            <w:r>
              <w:rPr>
                <w:rFonts w:ascii="Seaford" w:hAnsi="Seaford"/>
              </w:rPr>
              <w:t xml:space="preserve">ourism </w:t>
            </w:r>
            <w:r w:rsidR="00E6657D">
              <w:rPr>
                <w:rFonts w:ascii="Seaford" w:hAnsi="Seaford"/>
              </w:rPr>
              <w:t>I</w:t>
            </w:r>
            <w:r>
              <w:rPr>
                <w:rFonts w:ascii="Seaford" w:hAnsi="Seaford"/>
              </w:rPr>
              <w:t xml:space="preserve">nitiatives </w:t>
            </w:r>
          </w:p>
          <w:p w14:paraId="41017C36" w14:textId="5CDF6BD6" w:rsidR="002E25DE" w:rsidRDefault="002E25DE" w:rsidP="0097048E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613" w:hanging="54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Fiscal Impact Briefing                                        Robbie Sandlass, </w:t>
            </w:r>
            <w:r w:rsidRPr="00F333A2">
              <w:rPr>
                <w:rFonts w:ascii="Seaford" w:hAnsi="Seaford"/>
                <w:i/>
                <w:iCs/>
              </w:rPr>
              <w:t>County Treasurer</w:t>
            </w:r>
          </w:p>
          <w:p w14:paraId="1B6FCE38" w14:textId="35E1CBA8" w:rsidR="009B28ED" w:rsidRDefault="009B28ED" w:rsidP="0097048E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613" w:hanging="540"/>
              <w:rPr>
                <w:rFonts w:ascii="Seaford" w:hAnsi="Seaford"/>
              </w:rPr>
            </w:pPr>
            <w:r>
              <w:rPr>
                <w:rFonts w:ascii="Seaford" w:hAnsi="Seaford"/>
              </w:rPr>
              <w:t xml:space="preserve">DED </w:t>
            </w:r>
            <w:r w:rsidR="00BE7349">
              <w:rPr>
                <w:rFonts w:ascii="Seaford" w:hAnsi="Seaford"/>
              </w:rPr>
              <w:t>Bond Rating</w:t>
            </w:r>
            <w:r>
              <w:rPr>
                <w:rFonts w:ascii="Seaford" w:hAnsi="Seaford"/>
              </w:rPr>
              <w:t xml:space="preserve"> </w:t>
            </w:r>
            <w:r w:rsidR="0089763C">
              <w:rPr>
                <w:rFonts w:ascii="Seaford" w:hAnsi="Seaford"/>
              </w:rPr>
              <w:t>P</w:t>
            </w:r>
            <w:r>
              <w:rPr>
                <w:rFonts w:ascii="Seaford" w:hAnsi="Seaford"/>
              </w:rPr>
              <w:t xml:space="preserve">resentation     </w:t>
            </w:r>
            <w:r w:rsidR="002E25DE">
              <w:rPr>
                <w:rFonts w:ascii="Seaford" w:hAnsi="Seaford"/>
              </w:rPr>
              <w:t xml:space="preserve">                        K</w:t>
            </w:r>
            <w:r w:rsidR="00967E6F">
              <w:rPr>
                <w:rFonts w:ascii="Seaford" w:hAnsi="Seaford"/>
              </w:rPr>
              <w:t xml:space="preserve">aren Holt, </w:t>
            </w:r>
            <w:r w:rsidR="00967E6F" w:rsidRPr="009B28ED">
              <w:rPr>
                <w:rFonts w:ascii="Seaford" w:hAnsi="Seaford"/>
                <w:i/>
                <w:iCs/>
              </w:rPr>
              <w:t>director</w:t>
            </w:r>
            <w:r w:rsidR="00967E6F">
              <w:rPr>
                <w:rFonts w:ascii="Seaford" w:hAnsi="Seaford"/>
              </w:rPr>
              <w:t xml:space="preserve">, </w:t>
            </w:r>
            <w:r w:rsidR="00967E6F" w:rsidRPr="009B28ED">
              <w:rPr>
                <w:rFonts w:ascii="Seaford" w:hAnsi="Seaford"/>
              </w:rPr>
              <w:t>Eco</w:t>
            </w:r>
            <w:r w:rsidR="002E25DE">
              <w:rPr>
                <w:rFonts w:ascii="Seaford" w:hAnsi="Seaford"/>
              </w:rPr>
              <w:t>n.</w:t>
            </w:r>
            <w:r w:rsidR="00967E6F" w:rsidRPr="009B28ED">
              <w:rPr>
                <w:rFonts w:ascii="Seaford" w:hAnsi="Seaford"/>
              </w:rPr>
              <w:t xml:space="preserve"> Dev</w:t>
            </w:r>
            <w:r w:rsidR="002E25DE">
              <w:rPr>
                <w:rFonts w:ascii="Seaford" w:hAnsi="Seaford"/>
              </w:rPr>
              <w:t>.</w:t>
            </w:r>
          </w:p>
          <w:p w14:paraId="0501AE78" w14:textId="77777777" w:rsidR="0097048E" w:rsidRDefault="004403A1" w:rsidP="007231CB">
            <w:pPr>
              <w:pStyle w:val="ListParagraph"/>
              <w:numPr>
                <w:ilvl w:val="0"/>
                <w:numId w:val="2"/>
              </w:numPr>
              <w:tabs>
                <w:tab w:val="left" w:pos="613"/>
              </w:tabs>
              <w:spacing w:line="288" w:lineRule="auto"/>
              <w:ind w:left="883" w:hanging="810"/>
              <w:rPr>
                <w:rFonts w:ascii="Seaford" w:hAnsi="Seaford"/>
              </w:rPr>
            </w:pPr>
            <w:r w:rsidRPr="0097048E">
              <w:rPr>
                <w:rFonts w:ascii="Seaford" w:hAnsi="Seaford"/>
              </w:rPr>
              <w:t>Updates (3-5 min max</w:t>
            </w:r>
            <w:r w:rsidR="00737EF8" w:rsidRPr="0097048E">
              <w:rPr>
                <w:rFonts w:ascii="Seaford" w:hAnsi="Seaford"/>
              </w:rPr>
              <w:t xml:space="preserve"> each</w:t>
            </w:r>
            <w:r w:rsidRPr="0097048E">
              <w:rPr>
                <w:rFonts w:ascii="Seaford" w:hAnsi="Seaford"/>
              </w:rPr>
              <w:t>)</w:t>
            </w:r>
          </w:p>
          <w:p w14:paraId="769ADB65" w14:textId="77777777" w:rsidR="002B4A68" w:rsidRDefault="00416AAF" w:rsidP="0097048E">
            <w:pPr>
              <w:pStyle w:val="ListParagraph"/>
              <w:numPr>
                <w:ilvl w:val="1"/>
                <w:numId w:val="2"/>
              </w:numPr>
              <w:tabs>
                <w:tab w:val="left" w:pos="613"/>
              </w:tabs>
              <w:spacing w:line="288" w:lineRule="auto"/>
              <w:rPr>
                <w:rFonts w:ascii="Seaford" w:hAnsi="Seaford"/>
              </w:rPr>
            </w:pPr>
            <w:r w:rsidRPr="0097048E">
              <w:rPr>
                <w:rFonts w:ascii="Seaford" w:hAnsi="Seaford"/>
              </w:rPr>
              <w:t xml:space="preserve">Liaison Updates          </w:t>
            </w:r>
          </w:p>
          <w:p w14:paraId="4A364E53" w14:textId="4A432B24" w:rsidR="002B4A68" w:rsidRDefault="002B4A68" w:rsidP="0097048E">
            <w:pPr>
              <w:pStyle w:val="ListParagraph"/>
              <w:numPr>
                <w:ilvl w:val="1"/>
                <w:numId w:val="2"/>
              </w:numPr>
              <w:tabs>
                <w:tab w:val="left" w:pos="613"/>
              </w:tabs>
              <w:spacing w:line="288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Legislative U</w:t>
            </w:r>
            <w:r w:rsidR="00966ADC">
              <w:rPr>
                <w:rFonts w:ascii="Seaford" w:hAnsi="Seaford"/>
              </w:rPr>
              <w:t>p</w:t>
            </w:r>
            <w:r>
              <w:rPr>
                <w:rFonts w:ascii="Seaford" w:hAnsi="Seaford"/>
              </w:rPr>
              <w:t>dates</w:t>
            </w:r>
          </w:p>
          <w:p w14:paraId="5BF06076" w14:textId="15A15FA3" w:rsidR="00D37E6C" w:rsidRDefault="00D37E6C" w:rsidP="0097048E">
            <w:pPr>
              <w:pStyle w:val="ListParagraph"/>
              <w:numPr>
                <w:ilvl w:val="1"/>
                <w:numId w:val="2"/>
              </w:numPr>
              <w:tabs>
                <w:tab w:val="left" w:pos="613"/>
              </w:tabs>
              <w:spacing w:line="288" w:lineRule="auto"/>
              <w:rPr>
                <w:rFonts w:ascii="Seaford" w:hAnsi="Seaford"/>
              </w:rPr>
            </w:pPr>
            <w:r>
              <w:rPr>
                <w:rFonts w:ascii="Seaford" w:hAnsi="Seaford"/>
              </w:rPr>
              <w:t>Subcommittee Updates</w:t>
            </w:r>
          </w:p>
          <w:p w14:paraId="018D797F" w14:textId="380458F5" w:rsidR="00210FEB" w:rsidRDefault="00210FEB" w:rsidP="00210FEB">
            <w:pPr>
              <w:pStyle w:val="ListParagraph"/>
              <w:numPr>
                <w:ilvl w:val="0"/>
                <w:numId w:val="2"/>
              </w:numPr>
              <w:tabs>
                <w:tab w:val="left" w:pos="613"/>
              </w:tabs>
              <w:spacing w:line="288" w:lineRule="auto"/>
              <w:ind w:left="883" w:hanging="810"/>
              <w:rPr>
                <w:rFonts w:ascii="Seaford" w:hAnsi="Seaford"/>
              </w:rPr>
            </w:pPr>
            <w:r w:rsidRPr="0097048E">
              <w:rPr>
                <w:rFonts w:ascii="Seaford" w:hAnsi="Seaford"/>
              </w:rPr>
              <w:t>Good of the Cause</w:t>
            </w:r>
            <w:r w:rsidRPr="0097048E">
              <w:rPr>
                <w:rFonts w:ascii="Seaford" w:hAnsi="Seaford"/>
              </w:rPr>
              <w:tab/>
            </w:r>
            <w:r w:rsidRPr="0097048E">
              <w:rPr>
                <w:rFonts w:ascii="Seaford" w:hAnsi="Seaford"/>
              </w:rPr>
              <w:tab/>
            </w:r>
            <w:r w:rsidRPr="0097048E">
              <w:rPr>
                <w:rFonts w:ascii="Seaford" w:hAnsi="Seaford"/>
              </w:rPr>
              <w:tab/>
            </w:r>
            <w:r w:rsidRPr="0097048E">
              <w:rPr>
                <w:rFonts w:ascii="Seaford" w:hAnsi="Seaford"/>
              </w:rPr>
              <w:tab/>
              <w:t xml:space="preserve">                                                      All</w:t>
            </w:r>
          </w:p>
          <w:p w14:paraId="2D898D1B" w14:textId="770FDB9C" w:rsidR="00C510D4" w:rsidRDefault="0097048E" w:rsidP="00C510D4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613" w:hanging="540"/>
              <w:rPr>
                <w:rFonts w:ascii="Seaford" w:hAnsi="Seaford"/>
              </w:rPr>
            </w:pPr>
            <w:r w:rsidRPr="0097048E">
              <w:rPr>
                <w:rFonts w:ascii="Seaford" w:hAnsi="Seaford"/>
              </w:rPr>
              <w:t xml:space="preserve">Closing Remarks, Action Items &amp; Adjournment                                            </w:t>
            </w:r>
            <w:r w:rsidR="00883CF7">
              <w:rPr>
                <w:rFonts w:ascii="Seaford" w:hAnsi="Seaford"/>
              </w:rPr>
              <w:t>Monica</w:t>
            </w:r>
          </w:p>
          <w:p w14:paraId="613037B3" w14:textId="77777777" w:rsidR="002B4A68" w:rsidRPr="00C510D4" w:rsidRDefault="002B4A68" w:rsidP="00C510D4">
            <w:pPr>
              <w:spacing w:line="288" w:lineRule="auto"/>
              <w:rPr>
                <w:rFonts w:ascii="Seaford" w:hAnsi="Seaford"/>
                <w:b/>
                <w:bCs/>
              </w:rPr>
            </w:pPr>
          </w:p>
          <w:p w14:paraId="62972A2D" w14:textId="77777777" w:rsidR="009B28ED" w:rsidRPr="0072150F" w:rsidRDefault="009B28ED" w:rsidP="0072150F">
            <w:pPr>
              <w:spacing w:line="288" w:lineRule="auto"/>
              <w:rPr>
                <w:rFonts w:ascii="Seaford" w:hAnsi="Seaford"/>
                <w:b/>
                <w:bCs/>
              </w:rPr>
            </w:pPr>
          </w:p>
          <w:p w14:paraId="379B99C0" w14:textId="29F2900E" w:rsidR="009B28ED" w:rsidRDefault="009B28ED" w:rsidP="00453B3F">
            <w:pPr>
              <w:pStyle w:val="ListParagraph"/>
              <w:spacing w:line="288" w:lineRule="auto"/>
              <w:ind w:left="1080"/>
              <w:jc w:val="center"/>
              <w:rPr>
                <w:rFonts w:ascii="Seaford" w:hAnsi="Seaford"/>
                <w:b/>
                <w:bCs/>
              </w:rPr>
            </w:pPr>
            <w:r>
              <w:rPr>
                <w:rFonts w:ascii="Seaford" w:hAnsi="Seaford"/>
                <w:b/>
                <w:bCs/>
              </w:rPr>
              <w:t>2026 Meeting Dates:</w:t>
            </w:r>
          </w:p>
          <w:p w14:paraId="2F3345A9" w14:textId="14AA395B" w:rsidR="009B28ED" w:rsidRDefault="009B28ED" w:rsidP="00453B3F">
            <w:pPr>
              <w:pStyle w:val="ListParagraph"/>
              <w:spacing w:line="288" w:lineRule="auto"/>
              <w:ind w:left="1080"/>
              <w:jc w:val="center"/>
              <w:rPr>
                <w:rFonts w:ascii="Seaford" w:hAnsi="Seaford"/>
                <w:b/>
                <w:bCs/>
              </w:rPr>
            </w:pPr>
            <w:r>
              <w:rPr>
                <w:rFonts w:ascii="Seaford" w:hAnsi="Seaford"/>
                <w:b/>
                <w:bCs/>
              </w:rPr>
              <w:t xml:space="preserve">March 11, May 13, September 9, November </w:t>
            </w:r>
            <w:r w:rsidR="0072150F">
              <w:rPr>
                <w:rFonts w:ascii="Seaford" w:hAnsi="Seaford"/>
                <w:b/>
                <w:bCs/>
              </w:rPr>
              <w:t>TBD</w:t>
            </w:r>
            <w:r>
              <w:rPr>
                <w:rFonts w:ascii="Seaford" w:hAnsi="Seaford"/>
                <w:b/>
                <w:bCs/>
              </w:rPr>
              <w:br/>
              <w:t>Summer &amp; Holiday socials TBD</w:t>
            </w:r>
          </w:p>
          <w:p w14:paraId="538A163E" w14:textId="77777777" w:rsidR="00453B3F" w:rsidRDefault="00453B3F" w:rsidP="00453B3F">
            <w:pPr>
              <w:pStyle w:val="ListParagraph"/>
              <w:spacing w:line="288" w:lineRule="auto"/>
              <w:ind w:left="1080"/>
              <w:jc w:val="center"/>
              <w:rPr>
                <w:rFonts w:ascii="Seaford" w:hAnsi="Seaford"/>
                <w:b/>
                <w:bCs/>
              </w:rPr>
            </w:pPr>
          </w:p>
          <w:p w14:paraId="3237D827" w14:textId="77777777" w:rsidR="00453B3F" w:rsidRDefault="00453B3F" w:rsidP="00453B3F">
            <w:pPr>
              <w:pStyle w:val="ListParagraph"/>
              <w:spacing w:line="288" w:lineRule="auto"/>
              <w:ind w:left="1080"/>
              <w:jc w:val="center"/>
              <w:rPr>
                <w:rFonts w:ascii="Seaford" w:hAnsi="Seaford"/>
                <w:b/>
                <w:bCs/>
              </w:rPr>
            </w:pPr>
          </w:p>
          <w:p w14:paraId="399FB0E9" w14:textId="492E33EC" w:rsidR="00416AAF" w:rsidRPr="00042422" w:rsidRDefault="00836E85" w:rsidP="00042422">
            <w:pPr>
              <w:spacing w:line="288" w:lineRule="auto"/>
              <w:rPr>
                <w:rFonts w:ascii="Seaford" w:hAnsi="Seaford"/>
                <w:b/>
                <w:bCs/>
              </w:rPr>
            </w:pPr>
            <w:r w:rsidRPr="0020548E">
              <w:rPr>
                <w:rFonts w:ascii="Seaford" w:hAnsi="Seaford"/>
                <w:b/>
                <w:bCs/>
                <w:color w:val="93874D" w:themeColor="accent2"/>
                <w:sz w:val="36"/>
                <w:szCs w:val="36"/>
              </w:rPr>
              <w:lastRenderedPageBreak/>
              <w:t>UPCOMING EVENTS</w:t>
            </w:r>
            <w:r w:rsidR="00416AAF" w:rsidRPr="0097048E">
              <w:rPr>
                <w:rFonts w:ascii="Seaford" w:hAnsi="Seaford" w:cstheme="minorHAnsi"/>
                <w:bCs/>
              </w:rPr>
              <w:t xml:space="preserve">      </w:t>
            </w:r>
          </w:p>
          <w:p w14:paraId="56AC0F4A" w14:textId="77777777" w:rsidR="00042422" w:rsidRDefault="00042422" w:rsidP="00D777CE">
            <w:pPr>
              <w:spacing w:line="240" w:lineRule="exact"/>
              <w:contextualSpacing/>
              <w:rPr>
                <w:rFonts w:ascii="Seaford" w:hAnsi="Seaford" w:cstheme="minorHAnsi"/>
                <w:bCs/>
              </w:rPr>
            </w:pPr>
          </w:p>
          <w:p w14:paraId="6578609E" w14:textId="3DFF0504" w:rsidR="00FE7A8E" w:rsidRDefault="00FE7A8E" w:rsidP="00D777CE">
            <w:pPr>
              <w:spacing w:line="240" w:lineRule="exact"/>
              <w:contextualSpacing/>
              <w:rPr>
                <w:rFonts w:ascii="Seaford" w:hAnsi="Seaford" w:cstheme="minorHAnsi"/>
                <w:bCs/>
              </w:rPr>
            </w:pPr>
            <w:r>
              <w:rPr>
                <w:rFonts w:ascii="Seaford" w:hAnsi="Seaford" w:cstheme="minorHAnsi"/>
                <w:bCs/>
              </w:rPr>
              <w:t>Hotel Tours with Hello Harford – January 14 &amp; 20</w:t>
            </w:r>
          </w:p>
          <w:p w14:paraId="5C15530F" w14:textId="77777777" w:rsidR="008557B2" w:rsidRDefault="008557B2" w:rsidP="00D777CE">
            <w:pPr>
              <w:spacing w:line="240" w:lineRule="exact"/>
              <w:contextualSpacing/>
              <w:rPr>
                <w:rFonts w:ascii="Seaford" w:hAnsi="Seaford" w:cstheme="minorHAnsi"/>
                <w:bCs/>
              </w:rPr>
            </w:pPr>
          </w:p>
          <w:p w14:paraId="27B08D24" w14:textId="7F4EC4F5" w:rsidR="008557B2" w:rsidRDefault="008557B2" w:rsidP="00D777CE">
            <w:pPr>
              <w:spacing w:line="240" w:lineRule="exact"/>
              <w:contextualSpacing/>
              <w:rPr>
                <w:rFonts w:ascii="Seaford" w:hAnsi="Seaford" w:cstheme="minorHAnsi"/>
                <w:bCs/>
              </w:rPr>
            </w:pPr>
            <w:r>
              <w:rPr>
                <w:rFonts w:ascii="Seaford" w:hAnsi="Seaford" w:cstheme="minorHAnsi"/>
                <w:bCs/>
              </w:rPr>
              <w:t xml:space="preserve">Harford County Chamber of Commerce’s State of the County Luncheon – </w:t>
            </w:r>
            <w:r>
              <w:rPr>
                <w:rFonts w:ascii="Seaford" w:hAnsi="Seaford" w:cstheme="minorHAnsi"/>
                <w:bCs/>
              </w:rPr>
              <w:br/>
              <w:t>January 22</w:t>
            </w:r>
          </w:p>
          <w:p w14:paraId="2EB40191" w14:textId="0FCDF116" w:rsidR="00FE7A8E" w:rsidRDefault="00FE7A8E" w:rsidP="00AA285F">
            <w:pPr>
              <w:spacing w:line="240" w:lineRule="exact"/>
              <w:rPr>
                <w:rFonts w:ascii="Seaford" w:hAnsi="Seaford" w:cstheme="minorHAnsi"/>
                <w:bCs/>
              </w:rPr>
            </w:pPr>
          </w:p>
          <w:p w14:paraId="114B1612" w14:textId="1FE0E900" w:rsidR="008557B2" w:rsidRDefault="008557B2" w:rsidP="00AA285F">
            <w:pPr>
              <w:spacing w:line="240" w:lineRule="exact"/>
              <w:rPr>
                <w:rFonts w:ascii="Seaford" w:hAnsi="Seaford" w:cstheme="minorHAnsi"/>
                <w:bCs/>
              </w:rPr>
            </w:pPr>
            <w:proofErr w:type="spellStart"/>
            <w:r>
              <w:rPr>
                <w:rFonts w:ascii="Seaford" w:hAnsi="Seaford" w:cstheme="minorHAnsi"/>
                <w:bCs/>
              </w:rPr>
              <w:t>ITekFed</w:t>
            </w:r>
            <w:proofErr w:type="spellEnd"/>
            <w:r>
              <w:rPr>
                <w:rFonts w:ascii="Seaford" w:hAnsi="Seaford" w:cstheme="minorHAnsi"/>
                <w:bCs/>
              </w:rPr>
              <w:t xml:space="preserve"> Demo Day – January 27</w:t>
            </w:r>
          </w:p>
          <w:p w14:paraId="3C0110F5" w14:textId="77777777" w:rsidR="008557B2" w:rsidRDefault="008557B2" w:rsidP="00AA285F">
            <w:pPr>
              <w:spacing w:line="240" w:lineRule="exact"/>
              <w:rPr>
                <w:rFonts w:ascii="Seaford" w:hAnsi="Seaford" w:cstheme="minorHAnsi"/>
                <w:bCs/>
              </w:rPr>
            </w:pPr>
          </w:p>
          <w:p w14:paraId="2DF1C79B" w14:textId="049C8417" w:rsidR="008557B2" w:rsidRDefault="008557B2" w:rsidP="00AA285F">
            <w:pPr>
              <w:spacing w:line="240" w:lineRule="exact"/>
              <w:rPr>
                <w:rFonts w:ascii="Seaford" w:hAnsi="Seaford" w:cstheme="minorHAnsi"/>
                <w:bCs/>
              </w:rPr>
            </w:pPr>
            <w:r>
              <w:rPr>
                <w:rFonts w:ascii="Seaford" w:hAnsi="Seaford" w:cstheme="minorHAnsi"/>
                <w:bCs/>
              </w:rPr>
              <w:t xml:space="preserve">Legislative Days in Annapolis: </w:t>
            </w:r>
            <w:r w:rsidRPr="008557B2">
              <w:rPr>
                <w:rFonts w:ascii="Seaford" w:hAnsi="Seaford" w:cstheme="minorHAnsi"/>
                <w:bCs/>
              </w:rPr>
              <w:t>M</w:t>
            </w:r>
            <w:r>
              <w:rPr>
                <w:rFonts w:ascii="Seaford" w:hAnsi="Seaford" w:cstheme="minorHAnsi"/>
                <w:bCs/>
              </w:rPr>
              <w:t xml:space="preserve">aryland </w:t>
            </w:r>
            <w:r w:rsidRPr="008557B2">
              <w:rPr>
                <w:rFonts w:ascii="Seaford" w:hAnsi="Seaford" w:cstheme="minorHAnsi"/>
                <w:bCs/>
              </w:rPr>
              <w:t>D</w:t>
            </w:r>
            <w:r>
              <w:rPr>
                <w:rFonts w:ascii="Seaford" w:hAnsi="Seaford" w:cstheme="minorHAnsi"/>
                <w:bCs/>
              </w:rPr>
              <w:t xml:space="preserve">epartment of </w:t>
            </w:r>
            <w:r w:rsidRPr="008557B2">
              <w:rPr>
                <w:rFonts w:ascii="Seaford" w:hAnsi="Seaford" w:cstheme="minorHAnsi"/>
                <w:bCs/>
              </w:rPr>
              <w:t>A</w:t>
            </w:r>
            <w:r>
              <w:rPr>
                <w:rFonts w:ascii="Seaford" w:hAnsi="Seaford" w:cstheme="minorHAnsi"/>
                <w:bCs/>
              </w:rPr>
              <w:t>griculture</w:t>
            </w:r>
            <w:r w:rsidRPr="008557B2">
              <w:rPr>
                <w:rFonts w:ascii="Seaford" w:hAnsi="Seaford" w:cstheme="minorHAnsi"/>
                <w:bCs/>
              </w:rPr>
              <w:t>’s Maryland’s Best Expo – February 3; Farm Bureau Day – February 4; Tourism Day – February 13; Harford County Night – February 24</w:t>
            </w:r>
          </w:p>
          <w:p w14:paraId="6BD0B475" w14:textId="77777777" w:rsidR="008557B2" w:rsidRDefault="008557B2" w:rsidP="00AA285F">
            <w:pPr>
              <w:spacing w:line="240" w:lineRule="exact"/>
              <w:rPr>
                <w:rFonts w:ascii="Seaford" w:hAnsi="Seaford" w:cstheme="minorHAnsi"/>
                <w:bCs/>
              </w:rPr>
            </w:pPr>
          </w:p>
          <w:p w14:paraId="12F7AE2A" w14:textId="2FD2BA65" w:rsidR="008557B2" w:rsidRDefault="00E23CA7" w:rsidP="00AA285F">
            <w:pPr>
              <w:spacing w:line="240" w:lineRule="exact"/>
              <w:rPr>
                <w:rFonts w:ascii="Seaford" w:hAnsi="Seaford" w:cstheme="minorHAnsi"/>
                <w:bCs/>
              </w:rPr>
            </w:pPr>
            <w:proofErr w:type="spellStart"/>
            <w:r>
              <w:rPr>
                <w:rFonts w:ascii="Seaford" w:hAnsi="Seaford" w:cstheme="minorHAnsi"/>
                <w:bCs/>
              </w:rPr>
              <w:t>LevelUp</w:t>
            </w:r>
            <w:proofErr w:type="spellEnd"/>
            <w:r>
              <w:rPr>
                <w:rFonts w:ascii="Seaford" w:hAnsi="Seaford" w:cstheme="minorHAnsi"/>
                <w:bCs/>
              </w:rPr>
              <w:t xml:space="preserve"> Harford Workshop Series</w:t>
            </w:r>
            <w:r w:rsidR="008557B2">
              <w:rPr>
                <w:rFonts w:ascii="Seaford" w:hAnsi="Seaford" w:cstheme="minorHAnsi"/>
                <w:bCs/>
              </w:rPr>
              <w:t>: Government Contracting 101 – February 10</w:t>
            </w:r>
          </w:p>
          <w:p w14:paraId="012F17F2" w14:textId="77777777" w:rsidR="008557B2" w:rsidRDefault="008557B2" w:rsidP="00AA285F">
            <w:pPr>
              <w:spacing w:line="240" w:lineRule="exact"/>
              <w:rPr>
                <w:rFonts w:ascii="Seaford" w:hAnsi="Seaford" w:cstheme="minorHAnsi"/>
                <w:bCs/>
              </w:rPr>
            </w:pPr>
          </w:p>
          <w:p w14:paraId="1C722D45" w14:textId="2EB00411" w:rsidR="008557B2" w:rsidRDefault="008557B2" w:rsidP="00AA285F">
            <w:pPr>
              <w:spacing w:line="240" w:lineRule="exact"/>
              <w:rPr>
                <w:rFonts w:ascii="Seaford" w:hAnsi="Seaford" w:cstheme="minorHAnsi"/>
                <w:bCs/>
              </w:rPr>
            </w:pPr>
            <w:r>
              <w:rPr>
                <w:rFonts w:ascii="Seaford" w:hAnsi="Seaford" w:cstheme="minorHAnsi"/>
                <w:bCs/>
              </w:rPr>
              <w:t>TARC Program Informational Workshops – February 24 &amp; 26 (tentative)</w:t>
            </w:r>
          </w:p>
          <w:p w14:paraId="000DED0B" w14:textId="77777777" w:rsidR="00DD1925" w:rsidRDefault="00DD1925" w:rsidP="00AA285F">
            <w:pPr>
              <w:spacing w:line="240" w:lineRule="exact"/>
              <w:rPr>
                <w:rFonts w:ascii="Seaford" w:hAnsi="Seaford" w:cstheme="minorHAnsi"/>
                <w:bCs/>
              </w:rPr>
            </w:pPr>
          </w:p>
          <w:p w14:paraId="3465554C" w14:textId="11988088" w:rsidR="00DD1925" w:rsidRDefault="00DD1925" w:rsidP="00AA285F">
            <w:pPr>
              <w:spacing w:line="240" w:lineRule="exact"/>
              <w:rPr>
                <w:rFonts w:ascii="Seaford" w:hAnsi="Seaford" w:cstheme="minorHAnsi"/>
                <w:bCs/>
              </w:rPr>
            </w:pPr>
            <w:r>
              <w:rPr>
                <w:rFonts w:ascii="Seaford" w:hAnsi="Seaford" w:cstheme="minorHAnsi"/>
                <w:bCs/>
              </w:rPr>
              <w:t xml:space="preserve">Harford County Chamber of Commerce’s </w:t>
            </w:r>
            <w:r w:rsidRPr="00DD1925">
              <w:rPr>
                <w:rFonts w:ascii="Seaford" w:hAnsi="Seaford" w:cstheme="minorHAnsi"/>
                <w:bCs/>
              </w:rPr>
              <w:t>Minority &amp; Small Business Resource Fair</w:t>
            </w:r>
            <w:r>
              <w:rPr>
                <w:rFonts w:ascii="Seaford" w:hAnsi="Seaford" w:cstheme="minorHAnsi"/>
                <w:bCs/>
              </w:rPr>
              <w:t xml:space="preserve"> – February 25</w:t>
            </w:r>
          </w:p>
          <w:p w14:paraId="42BCFA8A" w14:textId="77777777" w:rsidR="008557B2" w:rsidRDefault="008557B2" w:rsidP="00AA285F">
            <w:pPr>
              <w:spacing w:line="240" w:lineRule="exact"/>
              <w:rPr>
                <w:rFonts w:ascii="Seaford" w:hAnsi="Seaford" w:cstheme="minorHAnsi"/>
                <w:bCs/>
              </w:rPr>
            </w:pPr>
          </w:p>
          <w:p w14:paraId="73E9F27B" w14:textId="3D01FA37" w:rsidR="00AA285F" w:rsidRPr="00AA285F" w:rsidRDefault="008557B2" w:rsidP="00AA285F">
            <w:pPr>
              <w:spacing w:line="240" w:lineRule="exact"/>
              <w:rPr>
                <w:rFonts w:ascii="Seaford" w:hAnsi="Seaford" w:cstheme="minorHAnsi"/>
                <w:bCs/>
              </w:rPr>
            </w:pPr>
            <w:r>
              <w:rPr>
                <w:rFonts w:ascii="Seaford" w:hAnsi="Seaford" w:cstheme="minorHAnsi"/>
                <w:bCs/>
              </w:rPr>
              <w:t>Army Alliance Annual Luncheon – March 10</w:t>
            </w:r>
          </w:p>
        </w:tc>
      </w:tr>
      <w:tr w:rsidR="00C430D1" w:rsidRPr="00A32E7C" w14:paraId="64775E11" w14:textId="77777777" w:rsidTr="0029316A">
        <w:tc>
          <w:tcPr>
            <w:tcW w:w="270" w:type="dxa"/>
            <w:shd w:val="clear" w:color="auto" w:fill="133D65" w:themeFill="accent6"/>
          </w:tcPr>
          <w:p w14:paraId="3441A856" w14:textId="77777777" w:rsidR="00C430D1" w:rsidRPr="00A32E7C" w:rsidRDefault="00C430D1" w:rsidP="001F52C9">
            <w:pPr>
              <w:contextualSpacing/>
              <w:rPr>
                <w:rFonts w:ascii="Seaford" w:hAnsi="Seaford"/>
                <w:b/>
                <w:bCs/>
                <w:color w:val="133D65" w:themeColor="text2"/>
                <w:sz w:val="30"/>
                <w:szCs w:val="3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55E3AA8E" w14:textId="77777777" w:rsidR="00C430D1" w:rsidRPr="00A32E7C" w:rsidRDefault="00C430D1" w:rsidP="0029316A">
            <w:pPr>
              <w:contextualSpacing/>
              <w:rPr>
                <w:rFonts w:ascii="Seaford" w:hAnsi="Seaford"/>
                <w:b/>
                <w:bCs/>
                <w:i/>
                <w:iCs/>
                <w:color w:val="595959" w:themeColor="text1" w:themeTint="A6"/>
                <w:sz w:val="20"/>
                <w:szCs w:val="20"/>
                <w:u w:val="single"/>
              </w:rPr>
            </w:pPr>
          </w:p>
        </w:tc>
        <w:tc>
          <w:tcPr>
            <w:tcW w:w="8360" w:type="dxa"/>
          </w:tcPr>
          <w:p w14:paraId="1A12F616" w14:textId="271DBB69" w:rsidR="007F1D32" w:rsidRPr="00042422" w:rsidRDefault="007F1D32" w:rsidP="00C430D1">
            <w:pPr>
              <w:spacing w:line="288" w:lineRule="auto"/>
              <w:contextualSpacing/>
              <w:rPr>
                <w:rFonts w:ascii="Seaford" w:hAnsi="Seaford"/>
                <w:b/>
                <w:bCs/>
                <w:color w:val="93874D" w:themeColor="accent2"/>
              </w:rPr>
            </w:pPr>
          </w:p>
        </w:tc>
      </w:tr>
    </w:tbl>
    <w:p w14:paraId="519EA556" w14:textId="7C43AD11" w:rsidR="001320B0" w:rsidRPr="00A32E7C" w:rsidRDefault="001320B0" w:rsidP="00A32E7C">
      <w:pPr>
        <w:contextualSpacing/>
        <w:rPr>
          <w:rFonts w:ascii="Seaford" w:hAnsi="Seaford"/>
          <w:b/>
          <w:bCs/>
          <w:color w:val="133D65" w:themeColor="text2"/>
          <w:sz w:val="8"/>
          <w:szCs w:val="8"/>
        </w:rPr>
      </w:pPr>
    </w:p>
    <w:sectPr w:rsidR="001320B0" w:rsidRPr="00A32E7C" w:rsidSect="00452059">
      <w:headerReference w:type="first" r:id="rId8"/>
      <w:footerReference w:type="first" r:id="rId9"/>
      <w:pgSz w:w="12240" w:h="15840"/>
      <w:pgMar w:top="1440" w:right="720" w:bottom="1440" w:left="720" w:header="30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8525" w14:textId="77777777" w:rsidR="00DD05D7" w:rsidRDefault="00DD05D7" w:rsidP="00F256AB">
      <w:pPr>
        <w:spacing w:after="0" w:line="240" w:lineRule="auto"/>
      </w:pPr>
      <w:r>
        <w:separator/>
      </w:r>
    </w:p>
  </w:endnote>
  <w:endnote w:type="continuationSeparator" w:id="0">
    <w:p w14:paraId="11AEAF5F" w14:textId="77777777" w:rsidR="00DD05D7" w:rsidRDefault="00DD05D7" w:rsidP="00F2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F64D" w14:textId="4DD34F92" w:rsidR="00F256AB" w:rsidRDefault="00452059" w:rsidP="00452059">
    <w:pPr>
      <w:pStyle w:val="Footer"/>
      <w:ind w:left="-720"/>
    </w:pPr>
    <w:r>
      <w:rPr>
        <w:noProof/>
      </w:rPr>
      <w:drawing>
        <wp:inline distT="0" distB="0" distL="0" distR="0" wp14:anchorId="57436310" wp14:editId="219F7A08">
          <wp:extent cx="8046720" cy="1133856"/>
          <wp:effectExtent l="0" t="0" r="0" b="9525"/>
          <wp:docPr id="1178982515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982515" name="Picture 1" descr="A close up of a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1133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8202" w14:textId="77777777" w:rsidR="00DD05D7" w:rsidRDefault="00DD05D7" w:rsidP="00F256AB">
      <w:pPr>
        <w:spacing w:after="0" w:line="240" w:lineRule="auto"/>
      </w:pPr>
      <w:r>
        <w:separator/>
      </w:r>
    </w:p>
  </w:footnote>
  <w:footnote w:type="continuationSeparator" w:id="0">
    <w:p w14:paraId="0738D5FF" w14:textId="77777777" w:rsidR="00DD05D7" w:rsidRDefault="00DD05D7" w:rsidP="00F2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CEF3" w14:textId="217FEADE" w:rsidR="00F256AB" w:rsidRDefault="00F256AB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BB82F97" wp14:editId="43F105AF">
          <wp:simplePos x="0" y="0"/>
          <wp:positionH relativeFrom="page">
            <wp:posOffset>-9525</wp:posOffset>
          </wp:positionH>
          <wp:positionV relativeFrom="page">
            <wp:posOffset>-85725</wp:posOffset>
          </wp:positionV>
          <wp:extent cx="7822406" cy="2085975"/>
          <wp:effectExtent l="0" t="0" r="7620" b="0"/>
          <wp:wrapNone/>
          <wp:docPr id="230298757" name="Picture 230298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406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4AA"/>
    <w:multiLevelType w:val="hybridMultilevel"/>
    <w:tmpl w:val="923A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49BA"/>
    <w:multiLevelType w:val="hybridMultilevel"/>
    <w:tmpl w:val="3E128AF6"/>
    <w:lvl w:ilvl="0" w:tplc="8B1AC6EA">
      <w:start w:val="1"/>
      <w:numFmt w:val="upperRoman"/>
      <w:lvlText w:val="%1."/>
      <w:lvlJc w:val="left"/>
      <w:pPr>
        <w:ind w:left="720" w:hanging="720"/>
      </w:pPr>
      <w:rPr>
        <w:rFonts w:ascii="Seaford" w:eastAsiaTheme="minorHAnsi" w:hAnsi="Seaford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B5943"/>
    <w:multiLevelType w:val="hybridMultilevel"/>
    <w:tmpl w:val="DFDC78EC"/>
    <w:lvl w:ilvl="0" w:tplc="7F5C7AB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C0B49"/>
    <w:multiLevelType w:val="hybridMultilevel"/>
    <w:tmpl w:val="03645556"/>
    <w:lvl w:ilvl="0" w:tplc="E8C09524">
      <w:start w:val="2026"/>
      <w:numFmt w:val="bullet"/>
      <w:lvlText w:val="-"/>
      <w:lvlJc w:val="left"/>
      <w:pPr>
        <w:ind w:left="720" w:hanging="360"/>
      </w:pPr>
      <w:rPr>
        <w:rFonts w:ascii="Seaford" w:eastAsiaTheme="minorHAnsi" w:hAnsi="Seafor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73BF7"/>
    <w:multiLevelType w:val="multilevel"/>
    <w:tmpl w:val="67EC26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88811640">
    <w:abstractNumId w:val="1"/>
  </w:num>
  <w:num w:numId="2" w16cid:durableId="1602031285">
    <w:abstractNumId w:val="2"/>
  </w:num>
  <w:num w:numId="3" w16cid:durableId="57362549">
    <w:abstractNumId w:val="4"/>
  </w:num>
  <w:num w:numId="4" w16cid:durableId="1267732060">
    <w:abstractNumId w:val="0"/>
  </w:num>
  <w:num w:numId="5" w16cid:durableId="1840191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9"/>
    <w:rsid w:val="0002057E"/>
    <w:rsid w:val="00023617"/>
    <w:rsid w:val="00025B5D"/>
    <w:rsid w:val="00026520"/>
    <w:rsid w:val="000301BC"/>
    <w:rsid w:val="00041C15"/>
    <w:rsid w:val="00042422"/>
    <w:rsid w:val="00056902"/>
    <w:rsid w:val="000603EE"/>
    <w:rsid w:val="00066314"/>
    <w:rsid w:val="0007078E"/>
    <w:rsid w:val="00080D3D"/>
    <w:rsid w:val="000819FF"/>
    <w:rsid w:val="00091FFF"/>
    <w:rsid w:val="00096FAF"/>
    <w:rsid w:val="000A00C5"/>
    <w:rsid w:val="000A117E"/>
    <w:rsid w:val="000B0A2F"/>
    <w:rsid w:val="000B2AB6"/>
    <w:rsid w:val="000B3397"/>
    <w:rsid w:val="000C7C6B"/>
    <w:rsid w:val="000D2D55"/>
    <w:rsid w:val="000E4B75"/>
    <w:rsid w:val="000E7F8D"/>
    <w:rsid w:val="000F7C90"/>
    <w:rsid w:val="0010686E"/>
    <w:rsid w:val="001134FB"/>
    <w:rsid w:val="00126E57"/>
    <w:rsid w:val="001320B0"/>
    <w:rsid w:val="00132D10"/>
    <w:rsid w:val="00136432"/>
    <w:rsid w:val="00147E83"/>
    <w:rsid w:val="00162587"/>
    <w:rsid w:val="001626AC"/>
    <w:rsid w:val="00163A27"/>
    <w:rsid w:val="00166873"/>
    <w:rsid w:val="00166D4F"/>
    <w:rsid w:val="00173A09"/>
    <w:rsid w:val="00180372"/>
    <w:rsid w:val="001844B2"/>
    <w:rsid w:val="0019232E"/>
    <w:rsid w:val="00195412"/>
    <w:rsid w:val="001A37A0"/>
    <w:rsid w:val="001C4BD5"/>
    <w:rsid w:val="001D454F"/>
    <w:rsid w:val="001E66FC"/>
    <w:rsid w:val="001F0A31"/>
    <w:rsid w:val="001F31EE"/>
    <w:rsid w:val="001F52C9"/>
    <w:rsid w:val="0020548E"/>
    <w:rsid w:val="00207C93"/>
    <w:rsid w:val="00210FEB"/>
    <w:rsid w:val="00220607"/>
    <w:rsid w:val="00237556"/>
    <w:rsid w:val="00242B72"/>
    <w:rsid w:val="002453F0"/>
    <w:rsid w:val="002459E0"/>
    <w:rsid w:val="00247EDE"/>
    <w:rsid w:val="00250B6D"/>
    <w:rsid w:val="002639BB"/>
    <w:rsid w:val="00285238"/>
    <w:rsid w:val="0029316A"/>
    <w:rsid w:val="00293DD8"/>
    <w:rsid w:val="002A758B"/>
    <w:rsid w:val="002B4A68"/>
    <w:rsid w:val="002B589E"/>
    <w:rsid w:val="002B6343"/>
    <w:rsid w:val="002C1128"/>
    <w:rsid w:val="002D0BB5"/>
    <w:rsid w:val="002E25DE"/>
    <w:rsid w:val="002F0346"/>
    <w:rsid w:val="002F1BCB"/>
    <w:rsid w:val="002F62BE"/>
    <w:rsid w:val="00301E69"/>
    <w:rsid w:val="00302767"/>
    <w:rsid w:val="003028F0"/>
    <w:rsid w:val="00311E6E"/>
    <w:rsid w:val="00314C6E"/>
    <w:rsid w:val="00320E5F"/>
    <w:rsid w:val="003228D5"/>
    <w:rsid w:val="00323CCD"/>
    <w:rsid w:val="003260B4"/>
    <w:rsid w:val="00332483"/>
    <w:rsid w:val="003352F6"/>
    <w:rsid w:val="00347AAD"/>
    <w:rsid w:val="00351BFA"/>
    <w:rsid w:val="00367898"/>
    <w:rsid w:val="00372BE1"/>
    <w:rsid w:val="003824D8"/>
    <w:rsid w:val="00383D32"/>
    <w:rsid w:val="00383E06"/>
    <w:rsid w:val="00392E1A"/>
    <w:rsid w:val="003A42F9"/>
    <w:rsid w:val="003B0481"/>
    <w:rsid w:val="003F41FF"/>
    <w:rsid w:val="003F4FCA"/>
    <w:rsid w:val="003F61B2"/>
    <w:rsid w:val="00406EA4"/>
    <w:rsid w:val="00410553"/>
    <w:rsid w:val="00416AAF"/>
    <w:rsid w:val="00431C26"/>
    <w:rsid w:val="00432C5B"/>
    <w:rsid w:val="00435BB7"/>
    <w:rsid w:val="004403A1"/>
    <w:rsid w:val="004453F9"/>
    <w:rsid w:val="00452059"/>
    <w:rsid w:val="00453B3F"/>
    <w:rsid w:val="004554B6"/>
    <w:rsid w:val="00473B54"/>
    <w:rsid w:val="00476D37"/>
    <w:rsid w:val="0048051E"/>
    <w:rsid w:val="004A42FB"/>
    <w:rsid w:val="004A4377"/>
    <w:rsid w:val="004A46AE"/>
    <w:rsid w:val="004C16E3"/>
    <w:rsid w:val="005047C7"/>
    <w:rsid w:val="00510D0B"/>
    <w:rsid w:val="005177A6"/>
    <w:rsid w:val="0052508D"/>
    <w:rsid w:val="00530CE1"/>
    <w:rsid w:val="00542043"/>
    <w:rsid w:val="005746AB"/>
    <w:rsid w:val="00582B98"/>
    <w:rsid w:val="005A63B4"/>
    <w:rsid w:val="005E12B9"/>
    <w:rsid w:val="005E6F6B"/>
    <w:rsid w:val="005F6748"/>
    <w:rsid w:val="00601A5A"/>
    <w:rsid w:val="00610C59"/>
    <w:rsid w:val="006221A4"/>
    <w:rsid w:val="00623A19"/>
    <w:rsid w:val="00635BB6"/>
    <w:rsid w:val="006403A1"/>
    <w:rsid w:val="00643776"/>
    <w:rsid w:val="00647B57"/>
    <w:rsid w:val="00652744"/>
    <w:rsid w:val="00683BC4"/>
    <w:rsid w:val="00684BE9"/>
    <w:rsid w:val="006969C4"/>
    <w:rsid w:val="006A5CF3"/>
    <w:rsid w:val="006A7BC1"/>
    <w:rsid w:val="006D43D4"/>
    <w:rsid w:val="006E1E0D"/>
    <w:rsid w:val="006F4AC9"/>
    <w:rsid w:val="00714EDE"/>
    <w:rsid w:val="0071586C"/>
    <w:rsid w:val="0072150F"/>
    <w:rsid w:val="007231CB"/>
    <w:rsid w:val="00723C1D"/>
    <w:rsid w:val="00737EF8"/>
    <w:rsid w:val="0074138E"/>
    <w:rsid w:val="00767B0D"/>
    <w:rsid w:val="00780A10"/>
    <w:rsid w:val="007838D3"/>
    <w:rsid w:val="007914C9"/>
    <w:rsid w:val="007A6727"/>
    <w:rsid w:val="007B2EB0"/>
    <w:rsid w:val="007F0F40"/>
    <w:rsid w:val="007F1D32"/>
    <w:rsid w:val="007F5F6A"/>
    <w:rsid w:val="008031C9"/>
    <w:rsid w:val="00822FD0"/>
    <w:rsid w:val="008250E3"/>
    <w:rsid w:val="00836E85"/>
    <w:rsid w:val="00841C84"/>
    <w:rsid w:val="008448AA"/>
    <w:rsid w:val="008557B2"/>
    <w:rsid w:val="008748A9"/>
    <w:rsid w:val="00883CF7"/>
    <w:rsid w:val="00883DBD"/>
    <w:rsid w:val="008944EE"/>
    <w:rsid w:val="0089763C"/>
    <w:rsid w:val="00897B3D"/>
    <w:rsid w:val="008A25C6"/>
    <w:rsid w:val="008A6CF0"/>
    <w:rsid w:val="008C4506"/>
    <w:rsid w:val="008C6ECD"/>
    <w:rsid w:val="008D34DF"/>
    <w:rsid w:val="008D56BF"/>
    <w:rsid w:val="008E668B"/>
    <w:rsid w:val="008F2F4E"/>
    <w:rsid w:val="008F632B"/>
    <w:rsid w:val="00913A8D"/>
    <w:rsid w:val="00935419"/>
    <w:rsid w:val="0095188B"/>
    <w:rsid w:val="00966ADC"/>
    <w:rsid w:val="00967E6F"/>
    <w:rsid w:val="0097048E"/>
    <w:rsid w:val="009741B2"/>
    <w:rsid w:val="009867D9"/>
    <w:rsid w:val="00987EBC"/>
    <w:rsid w:val="009921AE"/>
    <w:rsid w:val="00993669"/>
    <w:rsid w:val="00996E6C"/>
    <w:rsid w:val="009B1C41"/>
    <w:rsid w:val="009B28ED"/>
    <w:rsid w:val="009C1CAC"/>
    <w:rsid w:val="009D026E"/>
    <w:rsid w:val="009D1176"/>
    <w:rsid w:val="009D32DA"/>
    <w:rsid w:val="009D4CAE"/>
    <w:rsid w:val="009D5510"/>
    <w:rsid w:val="00A00128"/>
    <w:rsid w:val="00A00F4C"/>
    <w:rsid w:val="00A2430A"/>
    <w:rsid w:val="00A32E7C"/>
    <w:rsid w:val="00A43753"/>
    <w:rsid w:val="00A4619B"/>
    <w:rsid w:val="00A46390"/>
    <w:rsid w:val="00A72E49"/>
    <w:rsid w:val="00A91F26"/>
    <w:rsid w:val="00AA285F"/>
    <w:rsid w:val="00AD4027"/>
    <w:rsid w:val="00AD7559"/>
    <w:rsid w:val="00AF60F9"/>
    <w:rsid w:val="00B013D7"/>
    <w:rsid w:val="00B23D08"/>
    <w:rsid w:val="00B36B93"/>
    <w:rsid w:val="00B66CB8"/>
    <w:rsid w:val="00B84AA7"/>
    <w:rsid w:val="00B855E5"/>
    <w:rsid w:val="00B86DE0"/>
    <w:rsid w:val="00B87973"/>
    <w:rsid w:val="00BA688B"/>
    <w:rsid w:val="00BB10C2"/>
    <w:rsid w:val="00BB4506"/>
    <w:rsid w:val="00BB4739"/>
    <w:rsid w:val="00BB5786"/>
    <w:rsid w:val="00BC064C"/>
    <w:rsid w:val="00BE48BF"/>
    <w:rsid w:val="00BE7349"/>
    <w:rsid w:val="00C003A4"/>
    <w:rsid w:val="00C04135"/>
    <w:rsid w:val="00C066A4"/>
    <w:rsid w:val="00C1051E"/>
    <w:rsid w:val="00C3756D"/>
    <w:rsid w:val="00C430D1"/>
    <w:rsid w:val="00C510D4"/>
    <w:rsid w:val="00C54AE7"/>
    <w:rsid w:val="00C869A9"/>
    <w:rsid w:val="00C90C6F"/>
    <w:rsid w:val="00C94925"/>
    <w:rsid w:val="00CB4F14"/>
    <w:rsid w:val="00CB6941"/>
    <w:rsid w:val="00CD101D"/>
    <w:rsid w:val="00CD11D8"/>
    <w:rsid w:val="00CD27A7"/>
    <w:rsid w:val="00CD4D13"/>
    <w:rsid w:val="00CF1082"/>
    <w:rsid w:val="00CF1329"/>
    <w:rsid w:val="00CF235F"/>
    <w:rsid w:val="00D01C8C"/>
    <w:rsid w:val="00D14245"/>
    <w:rsid w:val="00D25EBE"/>
    <w:rsid w:val="00D36832"/>
    <w:rsid w:val="00D37E6C"/>
    <w:rsid w:val="00D505DD"/>
    <w:rsid w:val="00D50BE0"/>
    <w:rsid w:val="00D52D19"/>
    <w:rsid w:val="00D6474F"/>
    <w:rsid w:val="00D7200C"/>
    <w:rsid w:val="00D72F05"/>
    <w:rsid w:val="00D76D79"/>
    <w:rsid w:val="00D777CE"/>
    <w:rsid w:val="00D87582"/>
    <w:rsid w:val="00D918AF"/>
    <w:rsid w:val="00D94302"/>
    <w:rsid w:val="00DA64D5"/>
    <w:rsid w:val="00DB3C46"/>
    <w:rsid w:val="00DD05D7"/>
    <w:rsid w:val="00DD1925"/>
    <w:rsid w:val="00DE0A9D"/>
    <w:rsid w:val="00DE5B03"/>
    <w:rsid w:val="00DE77FF"/>
    <w:rsid w:val="00DE794A"/>
    <w:rsid w:val="00E10443"/>
    <w:rsid w:val="00E12658"/>
    <w:rsid w:val="00E15BA0"/>
    <w:rsid w:val="00E23CA7"/>
    <w:rsid w:val="00E25DCA"/>
    <w:rsid w:val="00E31D6D"/>
    <w:rsid w:val="00E321BC"/>
    <w:rsid w:val="00E376B9"/>
    <w:rsid w:val="00E46367"/>
    <w:rsid w:val="00E61363"/>
    <w:rsid w:val="00E63F01"/>
    <w:rsid w:val="00E6657D"/>
    <w:rsid w:val="00E66D7A"/>
    <w:rsid w:val="00E732E5"/>
    <w:rsid w:val="00EA116F"/>
    <w:rsid w:val="00EA1860"/>
    <w:rsid w:val="00EB4BB3"/>
    <w:rsid w:val="00EC1900"/>
    <w:rsid w:val="00EF1DE6"/>
    <w:rsid w:val="00EF4D2A"/>
    <w:rsid w:val="00F05E90"/>
    <w:rsid w:val="00F256AB"/>
    <w:rsid w:val="00F3019C"/>
    <w:rsid w:val="00F333A2"/>
    <w:rsid w:val="00F33B35"/>
    <w:rsid w:val="00F4098A"/>
    <w:rsid w:val="00F674A7"/>
    <w:rsid w:val="00F70810"/>
    <w:rsid w:val="00F76B29"/>
    <w:rsid w:val="00F80691"/>
    <w:rsid w:val="00F81AC8"/>
    <w:rsid w:val="00F92636"/>
    <w:rsid w:val="00F95113"/>
    <w:rsid w:val="00F96B88"/>
    <w:rsid w:val="00FA76F2"/>
    <w:rsid w:val="00FC16EF"/>
    <w:rsid w:val="00FC3DBF"/>
    <w:rsid w:val="00FE7A8E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929F6"/>
  <w15:docId w15:val="{688D3AD9-2916-4EBE-92C2-5EAAD2A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6AB"/>
  </w:style>
  <w:style w:type="paragraph" w:styleId="Footer">
    <w:name w:val="footer"/>
    <w:basedOn w:val="Normal"/>
    <w:link w:val="FooterChar"/>
    <w:uiPriority w:val="99"/>
    <w:unhideWhenUsed/>
    <w:rsid w:val="00F25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AB"/>
  </w:style>
  <w:style w:type="paragraph" w:styleId="BalloonText">
    <w:name w:val="Balloon Text"/>
    <w:basedOn w:val="Normal"/>
    <w:link w:val="BalloonTextChar"/>
    <w:uiPriority w:val="99"/>
    <w:semiHidden/>
    <w:unhideWhenUsed/>
    <w:rsid w:val="00F2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6A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105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105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B6941"/>
    <w:pPr>
      <w:ind w:left="720"/>
      <w:contextualSpacing/>
    </w:pPr>
  </w:style>
  <w:style w:type="table" w:styleId="TableGrid">
    <w:name w:val="Table Grid"/>
    <w:basedOn w:val="TableNormal"/>
    <w:uiPriority w:val="59"/>
    <w:rsid w:val="0029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ECD"/>
    <w:rPr>
      <w:color w:val="133D6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33D65"/>
      </a:dk2>
      <a:lt2>
        <a:srgbClr val="F5F5F5"/>
      </a:lt2>
      <a:accent1>
        <a:srgbClr val="133D65"/>
      </a:accent1>
      <a:accent2>
        <a:srgbClr val="93874D"/>
      </a:accent2>
      <a:accent3>
        <a:srgbClr val="7DBEE4"/>
      </a:accent3>
      <a:accent4>
        <a:srgbClr val="93874D"/>
      </a:accent4>
      <a:accent5>
        <a:srgbClr val="7DBEE4"/>
      </a:accent5>
      <a:accent6>
        <a:srgbClr val="133D65"/>
      </a:accent6>
      <a:hlink>
        <a:srgbClr val="133D65"/>
      </a:hlink>
      <a:folHlink>
        <a:srgbClr val="93874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6292-46E4-4EB7-8619-F33FCEB0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274</Words>
  <Characters>1618</Characters>
  <Application>Microsoft Office Word</Application>
  <DocSecurity>0</DocSecurity>
  <Lines>92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Meserve, Dane</dc:creator>
  <cp:keywords/>
  <dc:description/>
  <cp:lastModifiedBy>Krysiak, Lisa</cp:lastModifiedBy>
  <cp:revision>14</cp:revision>
  <cp:lastPrinted>2025-11-06T14:45:00Z</cp:lastPrinted>
  <dcterms:created xsi:type="dcterms:W3CDTF">2026-01-06T14:13:00Z</dcterms:created>
  <dcterms:modified xsi:type="dcterms:W3CDTF">2026-01-07T15:06:00Z</dcterms:modified>
</cp:coreProperties>
</file>